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94-2806/2025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6"/>
        <w:gridCol w:w="475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6 Ханты-Мансийского судебного района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кого автономного округа – Югры 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 (628011, Ханты-Мансийский автономный округ – Югра, г. Ханты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-Мансийск, ул. Ленина, дом 87), </w:t>
      </w:r>
      <w:r>
        <w:rPr>
          <w:rFonts w:ascii="Times New Roman" w:eastAsia="Times New Roman" w:hAnsi="Times New Roman" w:cs="Times New Roman"/>
          <w:sz w:val="26"/>
          <w:szCs w:val="26"/>
        </w:rPr>
        <w:t>с участием Иванцова А.В.,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Иванцова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Тюменской обл.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гражданина Российской Федерации;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место регистрации: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Ханты-Мансийский автономный округ - Югра, </w:t>
      </w:r>
      <w:r>
        <w:rPr>
          <w:rStyle w:val="cat-User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проживающего по адресу: Ханты-Мансийский автономный округ - Югра, </w:t>
      </w:r>
      <w:r>
        <w:rPr>
          <w:rStyle w:val="cat-UserDefinedgrp-3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рабочим в </w:t>
      </w:r>
      <w:r>
        <w:rPr>
          <w:rStyle w:val="cat-OrganizationNamegrp-26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Style w:val="cat-PassportDatagrp-25rplc-1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ст.7.27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8rplc-2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Иванцов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помещении </w:t>
      </w:r>
      <w:r>
        <w:rPr>
          <w:rFonts w:ascii="Times New Roman" w:eastAsia="Times New Roman" w:hAnsi="Times New Roman" w:cs="Times New Roman"/>
          <w:sz w:val="26"/>
          <w:szCs w:val="26"/>
        </w:rPr>
        <w:t>магазина «</w:t>
      </w:r>
      <w:r>
        <w:rPr>
          <w:rStyle w:val="cat-UserDefinedgrp-36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расположенном по адресу: </w:t>
      </w:r>
      <w:r>
        <w:rPr>
          <w:rStyle w:val="cat-UserDefinedgrp-37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свободного доступа, тайно, из 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ыстных побуждений тайно похитил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виски «Наки Томпсон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» 1 шт. в с</w:t>
      </w:r>
      <w:r>
        <w:rPr>
          <w:rFonts w:ascii="Times New Roman" w:eastAsia="Times New Roman" w:hAnsi="Times New Roman" w:cs="Times New Roman"/>
          <w:sz w:val="26"/>
          <w:szCs w:val="26"/>
        </w:rPr>
        <w:t>теклянной таре, объемом 0,7 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содержанием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этилового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40%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причинив своими действиями </w:t>
      </w:r>
      <w:r>
        <w:rPr>
          <w:rStyle w:val="cat-OrganizationNamegrp-27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материальный ущерб на общую сумму </w:t>
      </w:r>
      <w:r>
        <w:rPr>
          <w:rStyle w:val="cat-Sumgrp-21rplc-29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Иванцов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правонарушения признал, пояснив, что похитил </w:t>
      </w:r>
      <w:r>
        <w:rPr>
          <w:rFonts w:ascii="Times New Roman" w:eastAsia="Times New Roman" w:hAnsi="Times New Roman" w:cs="Times New Roman"/>
          <w:sz w:val="26"/>
          <w:szCs w:val="26"/>
        </w:rPr>
        <w:t>из магазина «</w:t>
      </w:r>
      <w:r>
        <w:rPr>
          <w:rStyle w:val="cat-UserDefinedgrp-3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на 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sz w:val="26"/>
          <w:szCs w:val="26"/>
        </w:rPr>
        <w:t>овар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содеянном раскаивается.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потерпевшего </w:t>
      </w:r>
      <w:r>
        <w:rPr>
          <w:rStyle w:val="cat-OrganizationNamegrp-27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месте и времени судебного заседания извещен надлежащим образом, об отложении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го заседания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потерпевшего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Огласив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Иванцова А.В.,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7.27 КоАП РФ предусмотрена административная ответственность за мелкое хищение чужого имущества, </w:t>
      </w:r>
      <w:r>
        <w:rPr>
          <w:rFonts w:ascii="Times New Roman" w:eastAsia="Times New Roman" w:hAnsi="Times New Roman" w:cs="Times New Roman"/>
          <w:sz w:val="26"/>
          <w:szCs w:val="26"/>
        </w:rPr>
        <w:t>более одной тысячи рублей, но не более двух тысяч пятисот рублей путем кражи, мошенничества, присвоения или растраты при отсу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тствии признаков преступлений,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</w:t>
      </w:r>
      <w:r>
        <w:rPr>
          <w:rFonts w:ascii="Times New Roman" w:eastAsia="Times New Roman" w:hAnsi="Times New Roman" w:cs="Times New Roman"/>
          <w:sz w:val="26"/>
          <w:szCs w:val="26"/>
        </w:rPr>
        <w:t>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распорядится. С субъективной стороны хищение предполагает наличие у виновного лица прямого умысла, направленного на завладение чужим имуществом с целью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обращения его в свою пользу.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хищения </w:t>
      </w:r>
      <w:r>
        <w:rPr>
          <w:rStyle w:val="cat-Dategrp-10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2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385087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szCs w:val="26"/>
        </w:rPr>
        <w:t>Самбуркина П.М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об ущербе от </w:t>
      </w:r>
      <w:r>
        <w:rPr>
          <w:rStyle w:val="cat-Dategrp-10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фототаблицей от </w:t>
      </w:r>
      <w:r>
        <w:rPr>
          <w:rStyle w:val="cat-Dategrp-10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4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4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актом контрольно-ревизионной проверки по количеству и качеству от </w:t>
      </w:r>
      <w:r>
        <w:rPr>
          <w:rStyle w:val="cat-Dategrp-12rplc-4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оценке объяснений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учитывается, что при даче объяснений ему были разъяснены процессуальные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права, предусмотренные ст. 25.1 Кодекса Российской Федерации об административных правонарушениях, и положения ст. 51 Конституции РФ о праве не свидетельствовать против себя.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присутствовал умысел на завладение похищенного имущества, и произошло его фактическое изъятие, содеянное образует состав правонарушения, предусмотренный ч. 2 ст. 7.27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мелкого хищения чужого имущества стоимость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более одной тысячи рублей, но не более двух тысяч пятисот рублей путем кражи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Перечисленные выше доказательства отвечают требованиям закона, их объем достаточен для разрешения дела и в своей совокупности они без сомнений и противоречий позволяют прийти к выводу, что </w:t>
      </w:r>
      <w:r>
        <w:rPr>
          <w:rFonts w:ascii="Times New Roman" w:eastAsia="Times New Roman" w:hAnsi="Times New Roman" w:cs="Times New Roman"/>
          <w:sz w:val="26"/>
          <w:szCs w:val="26"/>
        </w:rPr>
        <w:t>Иванцов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мелкое хищение чужого имущества путем кражи.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Иванцов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находится в трудоспособном возрасте и не лишен возможности к получению доходов.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ответственность, является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тягчающих административную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тветственность,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Иванцову А.В.,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и обстоятельства совершенного административного правонарушения против собственности, обстоятельства содеян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ного, отсутствие обстоятельств,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личность виновного лица, его имущественное положение, состояние здоровья.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изложенных обстоятельствах,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Иванцову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пределах санкции ч. 2 ст. 7.27 КоАП РФ, в соответствии с требованиями статей 3.1, 3.5 и 4.1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23.1, 29.5, 29.6, 29.10 КоАП РФ, мировой судья,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Иванцова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назначить ему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ареста сроком на 1 (одни) сутки.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тивного ареста исчислять с </w:t>
      </w:r>
      <w:r>
        <w:rPr>
          <w:rStyle w:val="cat-Timegrp-29rplc-6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6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OrganizationNamegrp-26rplc-17">
    <w:name w:val="cat-OrganizationName grp-26 rplc-17"/>
    <w:basedOn w:val="DefaultParagraphFont"/>
  </w:style>
  <w:style w:type="character" w:customStyle="1" w:styleId="cat-PassportDatagrp-25rplc-18">
    <w:name w:val="cat-PassportData grp-25 rplc-18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Timegrp-28rplc-22">
    <w:name w:val="cat-Time grp-28 rplc-22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UserDefinedgrp-37rplc-25">
    <w:name w:val="cat-UserDefined grp-37 rplc-25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OrganizationNamegrp-27rplc-28">
    <w:name w:val="cat-OrganizationName grp-27 rplc-28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OrganizationNamegrp-27rplc-34">
    <w:name w:val="cat-OrganizationName grp-27 rplc-34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Dategrp-10rplc-41">
    <w:name w:val="cat-Date grp-10 rplc-41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Dategrp-10rplc-45">
    <w:name w:val="cat-Date grp-10 rplc-45"/>
    <w:basedOn w:val="DefaultParagraphFont"/>
  </w:style>
  <w:style w:type="character" w:customStyle="1" w:styleId="cat-Dategrp-12rplc-47">
    <w:name w:val="cat-Date grp-12 rplc-47"/>
    <w:basedOn w:val="DefaultParagraphFont"/>
  </w:style>
  <w:style w:type="character" w:customStyle="1" w:styleId="cat-Dategrp-12rplc-48">
    <w:name w:val="cat-Date grp-12 rplc-48"/>
    <w:basedOn w:val="DefaultParagraphFont"/>
  </w:style>
  <w:style w:type="character" w:customStyle="1" w:styleId="cat-Dategrp-12rplc-49">
    <w:name w:val="cat-Date grp-12 rplc-49"/>
    <w:basedOn w:val="DefaultParagraphFont"/>
  </w:style>
  <w:style w:type="character" w:customStyle="1" w:styleId="cat-UserDefinedgrp-40rplc-61">
    <w:name w:val="cat-UserDefined grp-40 rplc-61"/>
    <w:basedOn w:val="DefaultParagraphFont"/>
  </w:style>
  <w:style w:type="character" w:customStyle="1" w:styleId="cat-Timegrp-29rplc-62">
    <w:name w:val="cat-Time grp-29 rplc-62"/>
    <w:basedOn w:val="DefaultParagraphFont"/>
  </w:style>
  <w:style w:type="character" w:customStyle="1" w:styleId="cat-Dategrp-13rplc-63">
    <w:name w:val="cat-Date grp-13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